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5" w:rsidRPr="00F41A85" w:rsidRDefault="00F41A85" w:rsidP="00F41A85">
      <w:pPr>
        <w:jc w:val="center"/>
        <w:rPr>
          <w:rFonts w:ascii="Arial" w:hAnsi="Arial" w:cs="Arial"/>
          <w:b/>
        </w:rPr>
      </w:pPr>
      <w:r w:rsidRPr="00F41A85">
        <w:rPr>
          <w:rFonts w:ascii="Arial" w:hAnsi="Arial" w:cs="Arial"/>
          <w:b/>
        </w:rPr>
        <w:t xml:space="preserve">MSDE Mathematics Lesson Seed </w:t>
      </w:r>
    </w:p>
    <w:tbl>
      <w:tblPr>
        <w:tblStyle w:val="TableGrid"/>
        <w:tblW w:w="10350" w:type="dxa"/>
        <w:tblInd w:w="558" w:type="dxa"/>
        <w:tblLook w:val="04A0" w:firstRow="1" w:lastRow="0" w:firstColumn="1" w:lastColumn="0" w:noHBand="0" w:noVBand="1"/>
      </w:tblPr>
      <w:tblGrid>
        <w:gridCol w:w="10350"/>
      </w:tblGrid>
      <w:tr w:rsidR="00F41A85" w:rsidRPr="00F41A85" w:rsidTr="00F41A85">
        <w:tc>
          <w:tcPr>
            <w:tcW w:w="10350" w:type="dxa"/>
            <w:shd w:val="clear" w:color="auto" w:fill="D9D9D9" w:themeFill="background1" w:themeFillShade="D9"/>
          </w:tcPr>
          <w:p w:rsidR="00054E04" w:rsidRPr="00440ADC" w:rsidRDefault="00F41A85" w:rsidP="00EC33D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</w:rPr>
            </w:pPr>
            <w:bookmarkStart w:id="0" w:name="_GoBack"/>
            <w:r w:rsidRPr="00440ADC">
              <w:rPr>
                <w:rFonts w:ascii="Arial" w:hAnsi="Arial" w:cs="Arial"/>
                <w:b/>
              </w:rPr>
              <w:t>Domain</w:t>
            </w:r>
          </w:p>
          <w:p w:rsidR="00440ADC" w:rsidRDefault="00F75C0A" w:rsidP="00EC33D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Reasoning with Equations and Inequalities </w:t>
            </w:r>
          </w:p>
          <w:p w:rsidR="00F75C0A" w:rsidRPr="00440ADC" w:rsidRDefault="00F75C0A" w:rsidP="00EC33D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</w:rPr>
            </w:pPr>
          </w:p>
          <w:p w:rsidR="00440ADC" w:rsidRPr="00440ADC" w:rsidRDefault="00F41A85" w:rsidP="00EC33D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</w:rPr>
            </w:pPr>
            <w:r w:rsidRPr="00440ADC">
              <w:rPr>
                <w:rFonts w:ascii="Arial" w:hAnsi="Arial" w:cs="Arial"/>
                <w:b/>
              </w:rPr>
              <w:t>Cluster Statement</w:t>
            </w:r>
          </w:p>
          <w:p w:rsidR="00F41A85" w:rsidRPr="00440ADC" w:rsidRDefault="00F75C0A" w:rsidP="00EC33D0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Understand solving equations as a process of reasoning and explain the reasoning</w:t>
            </w:r>
          </w:p>
          <w:p w:rsidR="00054E04" w:rsidRPr="00440ADC" w:rsidRDefault="00F41A85" w:rsidP="00440ADC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i/>
              </w:rPr>
            </w:pPr>
            <w:r w:rsidRPr="00440ADC">
              <w:rPr>
                <w:rFonts w:ascii="Arial" w:hAnsi="Arial" w:cs="Arial"/>
                <w:b/>
              </w:rPr>
              <w:t xml:space="preserve"> </w:t>
            </w:r>
          </w:p>
          <w:p w:rsidR="00F41A85" w:rsidRPr="00440ADC" w:rsidRDefault="00F41A85" w:rsidP="00EC33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0ADC">
              <w:rPr>
                <w:rFonts w:ascii="Arial" w:hAnsi="Arial" w:cs="Arial"/>
                <w:b/>
              </w:rPr>
              <w:t>Standard</w:t>
            </w:r>
          </w:p>
          <w:p w:rsidR="00F41A85" w:rsidRPr="00440ADC" w:rsidRDefault="00440ADC" w:rsidP="00054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C0A">
              <w:rPr>
                <w:rFonts w:ascii="Arial" w:eastAsia="Calibri" w:hAnsi="Arial" w:cs="Arial"/>
                <w:b/>
              </w:rPr>
              <w:t>A.REI.2</w:t>
            </w:r>
            <w:r w:rsidRPr="00440ADC">
              <w:rPr>
                <w:rFonts w:ascii="Arial" w:eastAsia="Calibri" w:hAnsi="Arial" w:cs="Arial"/>
              </w:rPr>
              <w:t xml:space="preserve"> Solve simple rational equations in one variable, and give examples showing how extraneous solutions may arise.</w:t>
            </w:r>
          </w:p>
        </w:tc>
      </w:tr>
      <w:bookmarkEnd w:id="0"/>
      <w:tr w:rsidR="00F41A85" w:rsidRPr="00F41A85" w:rsidTr="00F41A85">
        <w:tc>
          <w:tcPr>
            <w:tcW w:w="10350" w:type="dxa"/>
          </w:tcPr>
          <w:p w:rsidR="00F41A85" w:rsidRDefault="00F41A85" w:rsidP="00EC33D0">
            <w:pPr>
              <w:rPr>
                <w:rFonts w:ascii="Arial" w:hAnsi="Arial" w:cs="Arial"/>
                <w:b/>
              </w:rPr>
            </w:pPr>
            <w:r w:rsidRPr="00440ADC">
              <w:rPr>
                <w:rFonts w:ascii="Arial" w:hAnsi="Arial" w:cs="Arial"/>
                <w:b/>
              </w:rPr>
              <w:t>Purpose/Big Idea:</w:t>
            </w:r>
          </w:p>
          <w:p w:rsidR="00F41A85" w:rsidRDefault="00471CE3" w:rsidP="00EC33D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activity in this lesson seed provides a novel way to provide practice in solving </w:t>
            </w:r>
            <w:r w:rsidR="00440ADC">
              <w:rPr>
                <w:rFonts w:ascii="Arial" w:eastAsia="Calibri" w:hAnsi="Arial" w:cs="Arial"/>
              </w:rPr>
              <w:t xml:space="preserve">rational equations algebraically. </w:t>
            </w:r>
            <w:r>
              <w:rPr>
                <w:rFonts w:ascii="Arial" w:eastAsia="Calibri" w:hAnsi="Arial" w:cs="Arial"/>
              </w:rPr>
              <w:t>Some of the problems have e</w:t>
            </w:r>
            <w:r w:rsidR="00440ADC">
              <w:rPr>
                <w:rFonts w:ascii="Arial" w:eastAsia="Calibri" w:hAnsi="Arial" w:cs="Arial"/>
              </w:rPr>
              <w:t>xtraneous solutions</w:t>
            </w:r>
            <w:r>
              <w:rPr>
                <w:rFonts w:ascii="Arial" w:eastAsia="Calibri" w:hAnsi="Arial" w:cs="Arial"/>
              </w:rPr>
              <w:t>. Students will need to apply their knowledge of extraneous solutions to successfully build the octahedron.</w:t>
            </w:r>
          </w:p>
          <w:p w:rsidR="00471CE3" w:rsidRDefault="00471CE3" w:rsidP="00EC33D0">
            <w:pPr>
              <w:rPr>
                <w:rFonts w:ascii="Arial" w:eastAsia="Calibri" w:hAnsi="Arial" w:cs="Arial"/>
              </w:rPr>
            </w:pPr>
          </w:p>
          <w:p w:rsidR="00471CE3" w:rsidRPr="00440ADC" w:rsidRDefault="00471CE3" w:rsidP="00EC33D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This activity adheres to UDL Principle II Multiple Means of Expression in that it gives students another option for expressing what they know.</w:t>
            </w:r>
          </w:p>
          <w:p w:rsidR="00F41A85" w:rsidRPr="00440ADC" w:rsidRDefault="00F41A85" w:rsidP="00EC33D0">
            <w:pPr>
              <w:rPr>
                <w:rFonts w:ascii="Arial" w:hAnsi="Arial" w:cs="Arial"/>
              </w:rPr>
            </w:pPr>
          </w:p>
        </w:tc>
      </w:tr>
      <w:tr w:rsidR="00F41A85" w:rsidRPr="00F41A85" w:rsidTr="00F41A85">
        <w:tc>
          <w:tcPr>
            <w:tcW w:w="10350" w:type="dxa"/>
          </w:tcPr>
          <w:p w:rsidR="00440ADC" w:rsidRDefault="00F41A85" w:rsidP="00440ADC">
            <w:pPr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Materials:</w:t>
            </w:r>
          </w:p>
          <w:p w:rsidR="00440ADC" w:rsidRDefault="00DA1014" w:rsidP="00440AD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Worksheet (see attached</w:t>
            </w:r>
            <w:r w:rsidR="00440ADC" w:rsidRPr="00440ADC">
              <w:rPr>
                <w:rFonts w:ascii="Arial" w:eastAsia="Calibri" w:hAnsi="Arial" w:cs="Arial"/>
              </w:rPr>
              <w:t>)</w:t>
            </w:r>
          </w:p>
          <w:p w:rsidR="00BD461E" w:rsidRDefault="00BD461E" w:rsidP="00440AD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Scissors</w:t>
            </w:r>
          </w:p>
          <w:p w:rsidR="00BD461E" w:rsidRPr="00440ADC" w:rsidRDefault="00BD461E" w:rsidP="00440AD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glue</w:t>
            </w:r>
          </w:p>
          <w:p w:rsidR="00F41A85" w:rsidRPr="00F41A85" w:rsidRDefault="00F41A85" w:rsidP="00EC33D0">
            <w:pPr>
              <w:rPr>
                <w:rFonts w:ascii="Arial" w:hAnsi="Arial" w:cs="Arial"/>
              </w:rPr>
            </w:pPr>
          </w:p>
        </w:tc>
      </w:tr>
      <w:tr w:rsidR="00F41A85" w:rsidRPr="00F41A85" w:rsidTr="00F41A85">
        <w:tc>
          <w:tcPr>
            <w:tcW w:w="10350" w:type="dxa"/>
          </w:tcPr>
          <w:p w:rsidR="00F41A85" w:rsidRPr="00F41A85" w:rsidRDefault="00F41A85" w:rsidP="00EC33D0">
            <w:pPr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Description of how to use the activity:</w:t>
            </w:r>
          </w:p>
          <w:p w:rsidR="00F41A85" w:rsidRDefault="00B8455F" w:rsidP="00B845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55F">
              <w:rPr>
                <w:rFonts w:ascii="Arial" w:hAnsi="Arial" w:cs="Arial"/>
              </w:rPr>
              <w:t xml:space="preserve">Make a copy of the octahedron worksheets </w:t>
            </w:r>
            <w:r>
              <w:rPr>
                <w:rFonts w:ascii="Arial" w:hAnsi="Arial" w:cs="Arial"/>
              </w:rPr>
              <w:t xml:space="preserve">found on pages 2 &amp; 3 </w:t>
            </w:r>
            <w:r w:rsidRPr="00B8455F">
              <w:rPr>
                <w:rFonts w:ascii="Arial" w:hAnsi="Arial" w:cs="Arial"/>
              </w:rPr>
              <w:t xml:space="preserve">and distribute to each student/group in the class. </w:t>
            </w:r>
            <w:r>
              <w:rPr>
                <w:rFonts w:ascii="Arial" w:hAnsi="Arial" w:cs="Arial"/>
              </w:rPr>
              <w:t>Suggestion: Copies should be made on cardstock.</w:t>
            </w:r>
          </w:p>
          <w:p w:rsidR="00B8455F" w:rsidRDefault="00B8455F" w:rsidP="00B845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solve each problem and write the number of the problem on the flap that has the correct solution(s).</w:t>
            </w:r>
          </w:p>
          <w:p w:rsidR="00B8455F" w:rsidRDefault="00B8455F" w:rsidP="00B845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cut out the circles.</w:t>
            </w:r>
          </w:p>
          <w:p w:rsidR="00B8455F" w:rsidRDefault="00B8455F" w:rsidP="00B845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Fold the flaps.</w:t>
            </w:r>
          </w:p>
          <w:p w:rsidR="00B8455F" w:rsidRPr="00B8455F" w:rsidRDefault="00B8455F" w:rsidP="00EC33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Glue the </w:t>
            </w:r>
            <w:r w:rsidR="00EE53E2">
              <w:rPr>
                <w:rFonts w:ascii="Arial" w:hAnsi="Arial" w:cs="Arial"/>
              </w:rPr>
              <w:t xml:space="preserve">flap containing the </w:t>
            </w:r>
            <w:r>
              <w:rPr>
                <w:rFonts w:ascii="Arial" w:hAnsi="Arial" w:cs="Arial"/>
              </w:rPr>
              <w:t>problem to the</w:t>
            </w:r>
            <w:r w:rsidR="00EE53E2">
              <w:rPr>
                <w:rFonts w:ascii="Arial" w:hAnsi="Arial" w:cs="Arial"/>
              </w:rPr>
              <w:t xml:space="preserve"> flap containing the </w:t>
            </w:r>
            <w:r>
              <w:rPr>
                <w:rFonts w:ascii="Arial" w:hAnsi="Arial" w:cs="Arial"/>
              </w:rPr>
              <w:t>correct solution.</w:t>
            </w:r>
          </w:p>
        </w:tc>
      </w:tr>
      <w:tr w:rsidR="00F41A85" w:rsidRPr="00F41A85" w:rsidTr="00F41A85">
        <w:tc>
          <w:tcPr>
            <w:tcW w:w="10350" w:type="dxa"/>
          </w:tcPr>
          <w:p w:rsidR="00F41A85" w:rsidRPr="00F41A85" w:rsidRDefault="00F41A85" w:rsidP="00EC33D0">
            <w:pPr>
              <w:rPr>
                <w:rFonts w:ascii="Arial" w:hAnsi="Arial" w:cs="Arial"/>
                <w:b/>
              </w:rPr>
            </w:pPr>
            <w:r w:rsidRPr="00F41A85">
              <w:rPr>
                <w:rFonts w:ascii="Arial" w:hAnsi="Arial" w:cs="Arial"/>
                <w:b/>
              </w:rPr>
              <w:t>Guiding Questions:</w:t>
            </w:r>
          </w:p>
          <w:p w:rsidR="00F41A85" w:rsidRPr="00F41A85" w:rsidRDefault="00BB4091" w:rsidP="00EC3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:rsidR="00F41A85" w:rsidRPr="00F41A85" w:rsidRDefault="00F41A85" w:rsidP="00EC33D0">
            <w:pPr>
              <w:rPr>
                <w:rFonts w:ascii="Arial" w:hAnsi="Arial" w:cs="Arial"/>
              </w:rPr>
            </w:pPr>
          </w:p>
        </w:tc>
      </w:tr>
    </w:tbl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 w:rsidP="00B8455F">
      <w:pPr>
        <w:pStyle w:val="Title"/>
        <w:jc w:val="left"/>
      </w:pPr>
    </w:p>
    <w:p w:rsidR="00F41A85" w:rsidRDefault="00F41A85">
      <w:pPr>
        <w:pStyle w:val="Title"/>
      </w:pPr>
    </w:p>
    <w:p w:rsidR="00F41A85" w:rsidRDefault="00F41A85">
      <w:pPr>
        <w:pStyle w:val="Title"/>
      </w:pPr>
    </w:p>
    <w:p w:rsidR="00F41A85" w:rsidRDefault="00F41A85" w:rsidP="00B8455F">
      <w:pPr>
        <w:pStyle w:val="Title"/>
        <w:jc w:val="left"/>
      </w:pPr>
    </w:p>
    <w:p w:rsidR="00F41A85" w:rsidRDefault="00F41A85">
      <w:pPr>
        <w:pStyle w:val="Title"/>
      </w:pPr>
    </w:p>
    <w:p w:rsidR="00F41A85" w:rsidRDefault="00F41A85" w:rsidP="00B8455F">
      <w:pPr>
        <w:pStyle w:val="Title"/>
        <w:jc w:val="left"/>
      </w:pPr>
    </w:p>
    <w:p w:rsidR="00F41A85" w:rsidRDefault="00B8455F" w:rsidP="00B8455F">
      <w:pPr>
        <w:pStyle w:val="Title"/>
        <w:jc w:val="left"/>
      </w:pPr>
      <w:r w:rsidRPr="00B8455F">
        <w:rPr>
          <w:noProof/>
        </w:rPr>
        <w:lastRenderedPageBreak/>
        <w:drawing>
          <wp:inline distT="0" distB="0" distL="0" distR="0">
            <wp:extent cx="6858000" cy="873203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5F" w:rsidRDefault="00B8455F" w:rsidP="00B8455F">
      <w:pPr>
        <w:pStyle w:val="Title"/>
        <w:jc w:val="left"/>
      </w:pPr>
      <w:r w:rsidRPr="00B8455F">
        <w:rPr>
          <w:noProof/>
        </w:rPr>
        <w:lastRenderedPageBreak/>
        <w:drawing>
          <wp:inline distT="0" distB="0" distL="0" distR="0">
            <wp:extent cx="6858000" cy="8845421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4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55F" w:rsidSect="00F41A8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C3" w:rsidRDefault="00C56BC3" w:rsidP="00F41A85">
      <w:r>
        <w:separator/>
      </w:r>
    </w:p>
  </w:endnote>
  <w:endnote w:type="continuationSeparator" w:id="0">
    <w:p w:rsidR="00C56BC3" w:rsidRDefault="00C56BC3" w:rsidP="00F4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2240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1A85" w:rsidRDefault="00EF7E41" w:rsidP="00F41A85">
            <w:pPr>
              <w:pStyle w:val="Footer"/>
            </w:pPr>
            <w:r>
              <w:rPr>
                <w:b/>
              </w:rPr>
              <w:t>DRAFT</w:t>
            </w:r>
            <w:r>
              <w:t xml:space="preserve"> Maryland Common Core State Curriculum Lesson Seed for Algebra II       May 2012 </w:t>
            </w:r>
            <w:r w:rsidR="00F41A85">
              <w:t xml:space="preserve">       Page </w:t>
            </w:r>
            <w:r w:rsidR="00EE2809">
              <w:rPr>
                <w:b/>
              </w:rPr>
              <w:fldChar w:fldCharType="begin"/>
            </w:r>
            <w:r w:rsidR="00F41A85">
              <w:rPr>
                <w:b/>
              </w:rPr>
              <w:instrText xml:space="preserve"> PAGE </w:instrText>
            </w:r>
            <w:r w:rsidR="00EE2809">
              <w:rPr>
                <w:b/>
              </w:rPr>
              <w:fldChar w:fldCharType="separate"/>
            </w:r>
            <w:r w:rsidR="0016286F">
              <w:rPr>
                <w:b/>
                <w:noProof/>
              </w:rPr>
              <w:t>1</w:t>
            </w:r>
            <w:r w:rsidR="00EE2809">
              <w:rPr>
                <w:b/>
              </w:rPr>
              <w:fldChar w:fldCharType="end"/>
            </w:r>
            <w:r w:rsidR="00F41A85">
              <w:t xml:space="preserve"> of </w:t>
            </w:r>
            <w:r w:rsidR="00EE2809">
              <w:rPr>
                <w:b/>
              </w:rPr>
              <w:fldChar w:fldCharType="begin"/>
            </w:r>
            <w:r w:rsidR="00F41A85">
              <w:rPr>
                <w:b/>
              </w:rPr>
              <w:instrText xml:space="preserve"> NUMPAGES  </w:instrText>
            </w:r>
            <w:r w:rsidR="00EE2809">
              <w:rPr>
                <w:b/>
              </w:rPr>
              <w:fldChar w:fldCharType="separate"/>
            </w:r>
            <w:r w:rsidR="0016286F">
              <w:rPr>
                <w:b/>
                <w:noProof/>
              </w:rPr>
              <w:t>3</w:t>
            </w:r>
            <w:r w:rsidR="00EE2809">
              <w:rPr>
                <w:b/>
              </w:rPr>
              <w:fldChar w:fldCharType="end"/>
            </w:r>
          </w:p>
        </w:sdtContent>
      </w:sdt>
    </w:sdtContent>
  </w:sdt>
  <w:p w:rsidR="00F41A85" w:rsidRDefault="00F41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C3" w:rsidRDefault="00C56BC3" w:rsidP="00F41A85">
      <w:r>
        <w:separator/>
      </w:r>
    </w:p>
  </w:footnote>
  <w:footnote w:type="continuationSeparator" w:id="0">
    <w:p w:rsidR="00C56BC3" w:rsidRDefault="00C56BC3" w:rsidP="00F4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26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97"/>
      <w:gridCol w:w="6633"/>
    </w:tblGrid>
    <w:tr w:rsidR="00F41A85" w:rsidTr="00F41A85">
      <w:sdt>
        <w:sdtPr>
          <w:alias w:val="Date"/>
          <w:id w:val="108022396"/>
          <w:placeholder>
            <w:docPart w:val="0C15F6F3A9DF47F5A166807BA924A3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93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41A85" w:rsidRDefault="00D0409F" w:rsidP="00440ADC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Algebra I</w:t>
              </w:r>
              <w:r w:rsidR="004C0E07">
                <w:rPr>
                  <w:color w:val="FFFFFF" w:themeColor="background1"/>
                </w:rPr>
                <w:t>I</w:t>
              </w:r>
              <w:r>
                <w:rPr>
                  <w:color w:val="FFFFFF" w:themeColor="background1"/>
                </w:rPr>
                <w:t>/Unit 1</w:t>
              </w:r>
              <w:r w:rsidR="00F41A85">
                <w:rPr>
                  <w:color w:val="FFFFFF" w:themeColor="background1"/>
                </w:rPr>
                <w:t>/Lesson Seed</w:t>
              </w:r>
            </w:p>
          </w:tc>
        </w:sdtContent>
      </w:sdt>
      <w:tc>
        <w:tcPr>
          <w:tcW w:w="3007" w:type="pct"/>
          <w:tcBorders>
            <w:bottom w:val="single" w:sz="4" w:space="0" w:color="auto"/>
          </w:tcBorders>
          <w:vAlign w:val="bottom"/>
        </w:tcPr>
        <w:p w:rsidR="00F41A85" w:rsidRDefault="00440ADC" w:rsidP="00440ADC">
          <w:pPr>
            <w:pStyle w:val="Header"/>
            <w:rPr>
              <w:bCs/>
              <w:color w:val="76923C" w:themeColor="accent3" w:themeShade="BF"/>
            </w:rPr>
          </w:pPr>
          <w:r>
            <w:rPr>
              <w:b/>
              <w:bCs/>
              <w:caps/>
            </w:rPr>
            <w:t>[Solving Rational Equations - Octahedron]</w:t>
          </w:r>
        </w:p>
      </w:tc>
    </w:tr>
  </w:tbl>
  <w:p w:rsidR="00F41A85" w:rsidRDefault="00F41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E28"/>
    <w:multiLevelType w:val="hybridMultilevel"/>
    <w:tmpl w:val="367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52D87"/>
    <w:multiLevelType w:val="hybridMultilevel"/>
    <w:tmpl w:val="B810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C16EA"/>
    <w:multiLevelType w:val="hybridMultilevel"/>
    <w:tmpl w:val="99A8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FE"/>
    <w:rsid w:val="00035F30"/>
    <w:rsid w:val="00054E04"/>
    <w:rsid w:val="00077634"/>
    <w:rsid w:val="0016286F"/>
    <w:rsid w:val="002403F0"/>
    <w:rsid w:val="00440ADC"/>
    <w:rsid w:val="00471CE3"/>
    <w:rsid w:val="004C0E07"/>
    <w:rsid w:val="00641908"/>
    <w:rsid w:val="00663E1E"/>
    <w:rsid w:val="007127B9"/>
    <w:rsid w:val="00831776"/>
    <w:rsid w:val="008363B8"/>
    <w:rsid w:val="009056AA"/>
    <w:rsid w:val="00997887"/>
    <w:rsid w:val="00B4145D"/>
    <w:rsid w:val="00B8455F"/>
    <w:rsid w:val="00BB4091"/>
    <w:rsid w:val="00BD461E"/>
    <w:rsid w:val="00C41E56"/>
    <w:rsid w:val="00C4646D"/>
    <w:rsid w:val="00C56BC3"/>
    <w:rsid w:val="00D0409F"/>
    <w:rsid w:val="00D403CF"/>
    <w:rsid w:val="00D81992"/>
    <w:rsid w:val="00DA1014"/>
    <w:rsid w:val="00DC2BD0"/>
    <w:rsid w:val="00DC58FE"/>
    <w:rsid w:val="00E743F7"/>
    <w:rsid w:val="00EE2809"/>
    <w:rsid w:val="00EE53E2"/>
    <w:rsid w:val="00EF7E41"/>
    <w:rsid w:val="00F32F53"/>
    <w:rsid w:val="00F41A85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C98DC-DD02-480B-8E52-32C601F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77634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7634"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sid w:val="00077634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F41A8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A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85"/>
    <w:rPr>
      <w:sz w:val="24"/>
      <w:szCs w:val="24"/>
    </w:rPr>
  </w:style>
  <w:style w:type="paragraph" w:styleId="BalloonText">
    <w:name w:val="Balloon Text"/>
    <w:basedOn w:val="Normal"/>
    <w:link w:val="BalloonTextChar"/>
    <w:rsid w:val="00F4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15F6F3A9DF47F5A166807BA924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9F9-889E-44CB-9338-F093A4A4BCDE}"/>
      </w:docPartPr>
      <w:docPartBody>
        <w:p w:rsidR="00F06021" w:rsidRDefault="00EE20DB" w:rsidP="00EE20DB">
          <w:pPr>
            <w:pStyle w:val="0C15F6F3A9DF47F5A166807BA924A383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0DB"/>
    <w:rsid w:val="003702F8"/>
    <w:rsid w:val="004A7224"/>
    <w:rsid w:val="00585720"/>
    <w:rsid w:val="005A58C6"/>
    <w:rsid w:val="005B79EE"/>
    <w:rsid w:val="007F1710"/>
    <w:rsid w:val="00CC7C16"/>
    <w:rsid w:val="00EE20DB"/>
    <w:rsid w:val="00F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5F6F3A9DF47F5A166807BA924A383">
    <w:name w:val="0C15F6F3A9DF47F5A166807BA924A383"/>
    <w:rsid w:val="00EE20DB"/>
  </w:style>
  <w:style w:type="paragraph" w:customStyle="1" w:styleId="2FB7E3D776AA487B9DC25082572AA58D">
    <w:name w:val="2FB7E3D776AA487B9DC25082572AA58D"/>
    <w:rsid w:val="00EE20DB"/>
  </w:style>
  <w:style w:type="paragraph" w:customStyle="1" w:styleId="AD6B69EFABEB4B68A3E22E1FF4694012">
    <w:name w:val="AD6B69EFABEB4B68A3E22E1FF4694012"/>
    <w:rsid w:val="00EE20DB"/>
  </w:style>
  <w:style w:type="paragraph" w:customStyle="1" w:styleId="BA1F9B756D0B4E5FA62D5B2FC031B45C">
    <w:name w:val="BA1F9B756D0B4E5FA62D5B2FC031B45C"/>
    <w:rsid w:val="00EE2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Algebra II/Unit 1/Lesson Seed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Solvuin</vt:lpstr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Solvuin</dc:title>
  <dc:creator>Betty Anderson</dc:creator>
  <cp:lastModifiedBy>WSAdmin</cp:lastModifiedBy>
  <cp:revision>2</cp:revision>
  <cp:lastPrinted>2012-04-06T11:17:00Z</cp:lastPrinted>
  <dcterms:created xsi:type="dcterms:W3CDTF">2016-09-16T12:08:00Z</dcterms:created>
  <dcterms:modified xsi:type="dcterms:W3CDTF">2016-09-16T12:08:00Z</dcterms:modified>
</cp:coreProperties>
</file>